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R4-2412697</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w:t>
      </w:r>
      <w:r>
        <w:rPr>
          <w:rFonts w:hint="eastAsia" w:ascii="Arial" w:hAnsi="Arial" w:cs="Arial"/>
          <w:b/>
          <w:sz w:val="24"/>
          <w:szCs w:val="24"/>
        </w:rPr>
        <w:t>Co-existence evaluations</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the previous RAN4 meetings, we have reached lots of consensus on simulation assumptions for coexistence study, however there are still some issues needed to be further updated according to some initial intermediate calibration results. </w:t>
      </w:r>
    </w:p>
    <w:p>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default" w:eastAsia="Times New Roman"/>
          <w:sz w:val="28"/>
          <w:szCs w:val="28"/>
          <w:lang w:val="en-US"/>
        </w:rPr>
      </w:pPr>
      <w:r>
        <w:rPr>
          <w:rFonts w:hint="eastAsia"/>
          <w:sz w:val="28"/>
          <w:szCs w:val="28"/>
          <w:lang w:val="en-US" w:eastAsia="zh-CN"/>
        </w:rPr>
        <w:t>2.1. Discussion on coexistence cases and simulation assumptions</w:t>
      </w:r>
    </w:p>
    <w:p>
      <w:pPr>
        <w:tabs>
          <w:tab w:val="left" w:pos="2127"/>
        </w:tabs>
        <w:spacing w:after="0"/>
        <w:rPr>
          <w:rFonts w:hint="default"/>
          <w:lang w:val="en-US" w:eastAsia="zh-CN"/>
        </w:rPr>
      </w:pPr>
      <w:r>
        <w:rPr>
          <w:rFonts w:hint="eastAsia"/>
          <w:lang w:val="en-US" w:eastAsia="zh-CN"/>
        </w:rPr>
        <w:t>First of all, during last RAN4 meeting, it was agreed to have all A-IoT BS to be activated within single indoor factory. According to this simulation assumption, we provide some initial SINR curve for R2D reception as shown in Figure 2.1-1. It could be observed that around 86% tag</w:t>
      </w:r>
      <w:r>
        <w:rPr>
          <w:rFonts w:hint="default"/>
          <w:lang w:val="en-US" w:eastAsia="zh-CN"/>
        </w:rPr>
        <w:t>’</w:t>
      </w:r>
      <w:r>
        <w:rPr>
          <w:rFonts w:hint="eastAsia"/>
          <w:lang w:val="en-US" w:eastAsia="zh-CN"/>
        </w:rPr>
        <w:t xml:space="preserve">s received SINR lower than 10.3dB. However according to the BLER performance for OOK signal detection under different transmission bandwidth as shown in Figure 2.1-2, SINR@1% BLER is expected to be larger than 10dB if transmission bandwidth is restricted to 180kHz. Even for transmission bandwidth as 720kHz with OOK M=4~24, the required SINR @1% BLER would be also up to 10dB. In other words, roughly around 80% Tag/device cannot decode the R2D OOK signal correctly if all A-IoT BSs in the indoor factory scenario are activated simultaneously. </w:t>
      </w:r>
    </w:p>
    <w:p>
      <w:pPr>
        <w:tabs>
          <w:tab w:val="left" w:pos="2127"/>
        </w:tabs>
        <w:spacing w:after="0"/>
        <w:jc w:val="center"/>
      </w:pPr>
      <w:r>
        <w:drawing>
          <wp:inline distT="0" distB="0" distL="114300" distR="114300">
            <wp:extent cx="4227195" cy="3168650"/>
            <wp:effectExtent l="0" t="0" r="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227195" cy="3168650"/>
                    </a:xfrm>
                    <a:prstGeom prst="rect">
                      <a:avLst/>
                    </a:prstGeom>
                    <a:noFill/>
                    <a:ln>
                      <a:noFill/>
                    </a:ln>
                  </pic:spPr>
                </pic:pic>
              </a:graphicData>
            </a:graphic>
          </wp:inline>
        </w:drawing>
      </w:r>
    </w:p>
    <w:p>
      <w:pPr>
        <w:tabs>
          <w:tab w:val="left" w:pos="2127"/>
        </w:tabs>
        <w:spacing w:after="0"/>
        <w:jc w:val="center"/>
        <w:rPr>
          <w:rFonts w:hint="default" w:eastAsia="宋体"/>
          <w:lang w:val="en-US" w:eastAsia="zh-CN"/>
        </w:rPr>
      </w:pPr>
      <w:r>
        <w:rPr>
          <w:rFonts w:hint="eastAsia"/>
          <w:lang w:val="en-US" w:eastAsia="zh-CN"/>
        </w:rPr>
        <w:t>Figure 2.1-1. R2D SINR in D1T1 scenario</w:t>
      </w:r>
    </w:p>
    <w:p>
      <w:pPr>
        <w:tabs>
          <w:tab w:val="left" w:pos="2127"/>
        </w:tabs>
        <w:spacing w:after="0"/>
        <w:jc w:val="center"/>
      </w:pPr>
      <w:r>
        <w:drawing>
          <wp:inline distT="0" distB="0" distL="114300" distR="114300">
            <wp:extent cx="2665730" cy="2221865"/>
            <wp:effectExtent l="0" t="0" r="127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665730" cy="222186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6030" cy="2195195"/>
            <wp:effectExtent l="0" t="0" r="762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526030" cy="2195195"/>
                    </a:xfrm>
                    <a:prstGeom prst="rect">
                      <a:avLst/>
                    </a:prstGeom>
                    <a:noFill/>
                    <a:ln>
                      <a:noFill/>
                    </a:ln>
                  </pic:spPr>
                </pic:pic>
              </a:graphicData>
            </a:graphic>
          </wp:inline>
        </w:drawing>
      </w:r>
    </w:p>
    <w:p>
      <w:pPr>
        <w:tabs>
          <w:tab w:val="left" w:pos="2127"/>
        </w:tabs>
        <w:spacing w:after="0"/>
        <w:jc w:val="center"/>
        <w:rPr>
          <w:rFonts w:hint="default" w:eastAsia="宋体"/>
          <w:lang w:val="en-US" w:eastAsia="zh-CN"/>
        </w:rPr>
      </w:pPr>
      <w:r>
        <w:rPr>
          <w:rFonts w:hint="eastAsia"/>
          <w:lang w:val="en-US" w:eastAsia="zh-CN"/>
        </w:rPr>
        <w:t>Figure 2.1-2. BLER performance for OOK detection at device/tag side</w:t>
      </w:r>
    </w:p>
    <w:p>
      <w:pPr>
        <w:tabs>
          <w:tab w:val="left" w:pos="2127"/>
        </w:tabs>
        <w:spacing w:after="0"/>
        <w:rPr>
          <w:rFonts w:hint="default" w:eastAsia="宋体"/>
          <w:lang w:val="en-US" w:eastAsia="zh-CN"/>
        </w:rPr>
      </w:pPr>
      <w:r>
        <w:rPr>
          <w:rFonts w:hint="eastAsia"/>
          <w:b/>
          <w:bCs/>
          <w:lang w:val="en-US" w:eastAsia="zh-CN"/>
        </w:rPr>
        <w:t>Proposal 1:</w:t>
      </w:r>
      <w:r>
        <w:rPr>
          <w:rFonts w:hint="eastAsia"/>
          <w:lang w:val="en-US" w:eastAsia="zh-CN"/>
        </w:rPr>
        <w:t xml:space="preserve"> further study the assumption of A-IoT BS activation within the indoor factory in D1T1 scenario.</w:t>
      </w:r>
    </w:p>
    <w:p>
      <w:pPr>
        <w:tabs>
          <w:tab w:val="left" w:pos="2127"/>
        </w:tabs>
        <w:spacing w:after="0"/>
      </w:pPr>
      <w:r>
        <w:rPr>
          <w:rFonts w:hint="eastAsia"/>
          <w:lang w:val="en-US" w:eastAsia="zh-CN"/>
        </w:rPr>
        <w:t>In addition, it is agreed to assume R2D transmission bandwidth as 180kHz for the initial calibration, however according to RAN1</w:t>
      </w:r>
      <w:r>
        <w:rPr>
          <w:rFonts w:hint="default"/>
          <w:lang w:val="en-US" w:eastAsia="zh-CN"/>
        </w:rPr>
        <w:t>’</w:t>
      </w:r>
      <w:r>
        <w:rPr>
          <w:rFonts w:hint="eastAsia"/>
          <w:lang w:val="en-US" w:eastAsia="zh-CN"/>
        </w:rPr>
        <w:t xml:space="preserve">s discussions, chip rate for 180KHz transmission bandwidth might be two limited, instead 720kHz transmission bandwidth for R2D signal transmission might be appropriate option.  </w:t>
      </w:r>
    </w:p>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xml:space="preserve"> for the transmission bandwidth of R2D signal, propose to use 720KHz transmission bandwidth for formal evaluation. </w:t>
      </w: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coexistence evaluations and proposals are made as following: </w:t>
      </w:r>
    </w:p>
    <w:p>
      <w:pPr>
        <w:tabs>
          <w:tab w:val="left" w:pos="2127"/>
        </w:tabs>
        <w:spacing w:after="0"/>
        <w:rPr>
          <w:rFonts w:hint="default"/>
          <w:lang w:val="en-US" w:eastAsia="zh-CN"/>
        </w:rPr>
      </w:pPr>
      <w:r>
        <w:rPr>
          <w:rFonts w:hint="eastAsia"/>
          <w:b/>
          <w:bCs/>
          <w:lang w:val="en-US" w:eastAsia="zh-CN"/>
        </w:rPr>
        <w:t>Proposal 1:</w:t>
      </w:r>
      <w:r>
        <w:rPr>
          <w:rFonts w:hint="eastAsia"/>
          <w:lang w:val="en-US" w:eastAsia="zh-CN"/>
        </w:rPr>
        <w:t xml:space="preserve"> further study the assumption of A-IoT BS activation within the indoor factory in D1T1 scenario. </w:t>
      </w:r>
    </w:p>
    <w:p>
      <w:pPr>
        <w:tabs>
          <w:tab w:val="left" w:pos="2127"/>
        </w:tabs>
        <w:spacing w:after="0"/>
        <w:rPr>
          <w:rFonts w:hint="default"/>
          <w:color w:val="auto"/>
          <w:lang w:val="en-US" w:eastAsia="zh-CN"/>
        </w:rPr>
      </w:pPr>
      <w:r>
        <w:rPr>
          <w:rFonts w:hint="eastAsia"/>
          <w:b/>
          <w:bCs/>
          <w:lang w:val="en-US" w:eastAsia="zh-CN"/>
        </w:rPr>
        <w:t>Proposal 2:</w:t>
      </w:r>
      <w:r>
        <w:rPr>
          <w:rFonts w:hint="eastAsia"/>
          <w:lang w:val="en-US" w:eastAsia="zh-CN"/>
        </w:rPr>
        <w:t xml:space="preserve"> for the transmission bandwidth of R2D signal, propose to use 720KHz transmission bandwidth for formal evaluation. </w:t>
      </w:r>
    </w:p>
    <w:p>
      <w:pPr>
        <w:pStyle w:val="58"/>
        <w:tabs>
          <w:tab w:val="left" w:pos="567"/>
          <w:tab w:val="clear" w:pos="1985"/>
        </w:tabs>
        <w:adjustRightInd w:val="0"/>
        <w:ind w:left="510" w:hanging="510"/>
        <w:rPr>
          <w:rFonts w:hint="eastAsia" w:ascii="Times New Roman" w:hAnsi="Times New Roman" w:eastAsia="宋体" w:cs="Times New Roman"/>
          <w:kern w:val="2"/>
          <w:sz w:val="20"/>
          <w:szCs w:val="20"/>
          <w:lang w:val="en-US" w:eastAsia="zh-CN" w:bidi="ar-SA"/>
        </w:rPr>
      </w:pPr>
      <w:r>
        <w:t>References</w:t>
      </w:r>
    </w:p>
    <w:p>
      <w:pPr>
        <w:pStyle w:val="56"/>
        <w:numPr>
          <w:ilvl w:val="0"/>
          <w:numId w:val="2"/>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RP-240826,Revised SID: Study on solutions for Ambient IoT (Internet of Things) in NR (CMCC), Approved.</w:t>
      </w:r>
    </w:p>
    <w:p>
      <w:pPr>
        <w:pStyle w:val="56"/>
        <w:numPr>
          <w:ilvl w:val="0"/>
          <w:numId w:val="2"/>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56"/>
        <w:numPr>
          <w:ilvl w:val="0"/>
          <w:numId w:val="2"/>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0E7CEE"/>
    <w:rsid w:val="01115B33"/>
    <w:rsid w:val="0112068B"/>
    <w:rsid w:val="01133912"/>
    <w:rsid w:val="01150B79"/>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742A2"/>
    <w:rsid w:val="01B330C9"/>
    <w:rsid w:val="01B616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5548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8F6575"/>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454E"/>
    <w:rsid w:val="08E05424"/>
    <w:rsid w:val="08F10FA0"/>
    <w:rsid w:val="08F1525E"/>
    <w:rsid w:val="08F25D58"/>
    <w:rsid w:val="08F5200D"/>
    <w:rsid w:val="08F87A74"/>
    <w:rsid w:val="08F911CC"/>
    <w:rsid w:val="08FC18E8"/>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A2AEB"/>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52CDC"/>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375E3"/>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1E57"/>
    <w:rsid w:val="0BC739F0"/>
    <w:rsid w:val="0BD21910"/>
    <w:rsid w:val="0BDA3782"/>
    <w:rsid w:val="0BDB5584"/>
    <w:rsid w:val="0BE0026A"/>
    <w:rsid w:val="0BE03DAA"/>
    <w:rsid w:val="0BE17727"/>
    <w:rsid w:val="0BEC55E4"/>
    <w:rsid w:val="0BF427F9"/>
    <w:rsid w:val="0BF614B9"/>
    <w:rsid w:val="0C0476BF"/>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8208C"/>
    <w:rsid w:val="0C5D74AF"/>
    <w:rsid w:val="0C6038EF"/>
    <w:rsid w:val="0C654C73"/>
    <w:rsid w:val="0C663BE3"/>
    <w:rsid w:val="0C6D4FE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5678D"/>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92184"/>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97F82"/>
    <w:rsid w:val="0FDA08D0"/>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47426"/>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343F"/>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778A0"/>
    <w:rsid w:val="118F5855"/>
    <w:rsid w:val="118F5D6B"/>
    <w:rsid w:val="1193388F"/>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A662B"/>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56B2D"/>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9B725D"/>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450F8"/>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73433"/>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B361E"/>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25DFD"/>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39DB"/>
    <w:rsid w:val="19764535"/>
    <w:rsid w:val="198374F4"/>
    <w:rsid w:val="1989194D"/>
    <w:rsid w:val="19894C83"/>
    <w:rsid w:val="198C5D06"/>
    <w:rsid w:val="19A60D37"/>
    <w:rsid w:val="19A7296F"/>
    <w:rsid w:val="19AF232D"/>
    <w:rsid w:val="19B94DE5"/>
    <w:rsid w:val="19BB7983"/>
    <w:rsid w:val="19CA4702"/>
    <w:rsid w:val="19CD7D93"/>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62183"/>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33B7D"/>
    <w:rsid w:val="1B73181B"/>
    <w:rsid w:val="1B7906CE"/>
    <w:rsid w:val="1B7D07F3"/>
    <w:rsid w:val="1B831B2B"/>
    <w:rsid w:val="1B853A57"/>
    <w:rsid w:val="1B9219EE"/>
    <w:rsid w:val="1B9307F8"/>
    <w:rsid w:val="1B944685"/>
    <w:rsid w:val="1B945678"/>
    <w:rsid w:val="1B9B3AD0"/>
    <w:rsid w:val="1BA258AE"/>
    <w:rsid w:val="1BA57F07"/>
    <w:rsid w:val="1BA86B8C"/>
    <w:rsid w:val="1BAA3905"/>
    <w:rsid w:val="1BB01F6E"/>
    <w:rsid w:val="1BB31994"/>
    <w:rsid w:val="1BB5233F"/>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7284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E50760"/>
    <w:rsid w:val="1CF15683"/>
    <w:rsid w:val="1CF333A5"/>
    <w:rsid w:val="1CF53F65"/>
    <w:rsid w:val="1CFA57E6"/>
    <w:rsid w:val="1D023336"/>
    <w:rsid w:val="1D031DDA"/>
    <w:rsid w:val="1D0B731D"/>
    <w:rsid w:val="1D1C33A3"/>
    <w:rsid w:val="1D1D6A68"/>
    <w:rsid w:val="1D1F1D0C"/>
    <w:rsid w:val="1D2054C4"/>
    <w:rsid w:val="1D2279BD"/>
    <w:rsid w:val="1D24658B"/>
    <w:rsid w:val="1D2E77E8"/>
    <w:rsid w:val="1D457CE9"/>
    <w:rsid w:val="1D470795"/>
    <w:rsid w:val="1D4969F4"/>
    <w:rsid w:val="1D4C117F"/>
    <w:rsid w:val="1D513E68"/>
    <w:rsid w:val="1D563E2F"/>
    <w:rsid w:val="1D587FD7"/>
    <w:rsid w:val="1D5A17CD"/>
    <w:rsid w:val="1D5A3689"/>
    <w:rsid w:val="1D5E036D"/>
    <w:rsid w:val="1D6033FE"/>
    <w:rsid w:val="1D684015"/>
    <w:rsid w:val="1D6B5AD7"/>
    <w:rsid w:val="1D6F79AF"/>
    <w:rsid w:val="1D7877C5"/>
    <w:rsid w:val="1D7C6E19"/>
    <w:rsid w:val="1D7D5506"/>
    <w:rsid w:val="1D864D41"/>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468E8"/>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EE084B"/>
    <w:rsid w:val="1EF9792C"/>
    <w:rsid w:val="1F002DC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12BD"/>
    <w:rsid w:val="201C304F"/>
    <w:rsid w:val="201C690F"/>
    <w:rsid w:val="20263D53"/>
    <w:rsid w:val="20275ED1"/>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47076"/>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C7859"/>
    <w:rsid w:val="21ED7025"/>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C746AF"/>
    <w:rsid w:val="22C95B3D"/>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6746F"/>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020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AE43C1"/>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023A4"/>
    <w:rsid w:val="276142AB"/>
    <w:rsid w:val="27621C7A"/>
    <w:rsid w:val="27625732"/>
    <w:rsid w:val="27631640"/>
    <w:rsid w:val="276320D7"/>
    <w:rsid w:val="276F3D3A"/>
    <w:rsid w:val="27711B2C"/>
    <w:rsid w:val="27727EB7"/>
    <w:rsid w:val="27744B4E"/>
    <w:rsid w:val="277A5E6A"/>
    <w:rsid w:val="277E547B"/>
    <w:rsid w:val="278A6416"/>
    <w:rsid w:val="278D11DB"/>
    <w:rsid w:val="279408D2"/>
    <w:rsid w:val="279A1B15"/>
    <w:rsid w:val="279A2ED3"/>
    <w:rsid w:val="279C73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60C94"/>
    <w:rsid w:val="280A73A7"/>
    <w:rsid w:val="280B0292"/>
    <w:rsid w:val="281035C6"/>
    <w:rsid w:val="28140E2A"/>
    <w:rsid w:val="28201F93"/>
    <w:rsid w:val="2824417F"/>
    <w:rsid w:val="28255041"/>
    <w:rsid w:val="282B1213"/>
    <w:rsid w:val="2835725E"/>
    <w:rsid w:val="283832F0"/>
    <w:rsid w:val="283A1E3E"/>
    <w:rsid w:val="283F0B9A"/>
    <w:rsid w:val="284543A1"/>
    <w:rsid w:val="284B01FC"/>
    <w:rsid w:val="28506F1C"/>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1C21"/>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61BD5"/>
    <w:rsid w:val="2A2F350E"/>
    <w:rsid w:val="2A374404"/>
    <w:rsid w:val="2A3B063B"/>
    <w:rsid w:val="2A3E15CC"/>
    <w:rsid w:val="2A480FED"/>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70523"/>
    <w:rsid w:val="2AE87E10"/>
    <w:rsid w:val="2AEF2A8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6B7E73"/>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06DD8"/>
    <w:rsid w:val="2CD17849"/>
    <w:rsid w:val="2CD47078"/>
    <w:rsid w:val="2CDA4FDA"/>
    <w:rsid w:val="2CDC7091"/>
    <w:rsid w:val="2CE128DC"/>
    <w:rsid w:val="2CE16D71"/>
    <w:rsid w:val="2CE27F26"/>
    <w:rsid w:val="2CEC72E2"/>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6226AF"/>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6490B"/>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4F73A3"/>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B218F"/>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19C4"/>
    <w:rsid w:val="3042736A"/>
    <w:rsid w:val="3045713F"/>
    <w:rsid w:val="30486EA7"/>
    <w:rsid w:val="304F02D9"/>
    <w:rsid w:val="30500A5C"/>
    <w:rsid w:val="305447A9"/>
    <w:rsid w:val="305F558E"/>
    <w:rsid w:val="306B4848"/>
    <w:rsid w:val="30752E77"/>
    <w:rsid w:val="308018A6"/>
    <w:rsid w:val="30804E19"/>
    <w:rsid w:val="3090288F"/>
    <w:rsid w:val="30921E98"/>
    <w:rsid w:val="30980908"/>
    <w:rsid w:val="30980DA8"/>
    <w:rsid w:val="309B0CFB"/>
    <w:rsid w:val="309B2EEC"/>
    <w:rsid w:val="309E4272"/>
    <w:rsid w:val="30AE56DC"/>
    <w:rsid w:val="30B7307E"/>
    <w:rsid w:val="30BB5407"/>
    <w:rsid w:val="30BF034E"/>
    <w:rsid w:val="30C21A0E"/>
    <w:rsid w:val="30CC6F9C"/>
    <w:rsid w:val="30DC45E8"/>
    <w:rsid w:val="30DD6027"/>
    <w:rsid w:val="30DE16AB"/>
    <w:rsid w:val="30E1221A"/>
    <w:rsid w:val="30E734EF"/>
    <w:rsid w:val="30EB4922"/>
    <w:rsid w:val="30EF220B"/>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04BC"/>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4F61E6"/>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38F7"/>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D5BB1"/>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EC6E68"/>
    <w:rsid w:val="34F83EF3"/>
    <w:rsid w:val="34F953E0"/>
    <w:rsid w:val="34FB3AF7"/>
    <w:rsid w:val="34FF2166"/>
    <w:rsid w:val="3503286C"/>
    <w:rsid w:val="350A773D"/>
    <w:rsid w:val="350B4102"/>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3FC6"/>
    <w:rsid w:val="362952D6"/>
    <w:rsid w:val="36297754"/>
    <w:rsid w:val="362F3A87"/>
    <w:rsid w:val="363210F7"/>
    <w:rsid w:val="363A56B5"/>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96963"/>
    <w:rsid w:val="377A5D14"/>
    <w:rsid w:val="378075A4"/>
    <w:rsid w:val="3783595B"/>
    <w:rsid w:val="37840F0B"/>
    <w:rsid w:val="37860077"/>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E0E01"/>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A0C"/>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4A8E"/>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4F0C"/>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6250D"/>
    <w:rsid w:val="3C591787"/>
    <w:rsid w:val="3C5C66F4"/>
    <w:rsid w:val="3C5F3192"/>
    <w:rsid w:val="3C5F34EC"/>
    <w:rsid w:val="3C64689F"/>
    <w:rsid w:val="3C676A33"/>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6E7757"/>
    <w:rsid w:val="3D7335E1"/>
    <w:rsid w:val="3D7618FA"/>
    <w:rsid w:val="3D766E42"/>
    <w:rsid w:val="3D791797"/>
    <w:rsid w:val="3D807BCD"/>
    <w:rsid w:val="3D82057E"/>
    <w:rsid w:val="3D823565"/>
    <w:rsid w:val="3D832B00"/>
    <w:rsid w:val="3D8522AA"/>
    <w:rsid w:val="3D8A0C19"/>
    <w:rsid w:val="3D917A42"/>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A5671"/>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6640"/>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3A7EA2"/>
    <w:rsid w:val="3F3C6744"/>
    <w:rsid w:val="3F421D47"/>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B4BEF"/>
    <w:rsid w:val="3FBE30B8"/>
    <w:rsid w:val="3FCF604C"/>
    <w:rsid w:val="3FD210AC"/>
    <w:rsid w:val="3FD3664E"/>
    <w:rsid w:val="3FD53CFE"/>
    <w:rsid w:val="3FD9316A"/>
    <w:rsid w:val="3FDB206A"/>
    <w:rsid w:val="3FE1096B"/>
    <w:rsid w:val="3FE210C1"/>
    <w:rsid w:val="3FE417DA"/>
    <w:rsid w:val="3FEB1C22"/>
    <w:rsid w:val="3FEB336E"/>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D111C"/>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0682D"/>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D6585"/>
    <w:rsid w:val="437F424C"/>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046DC"/>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248E6"/>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076E3"/>
    <w:rsid w:val="460D3781"/>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EE73D1"/>
    <w:rsid w:val="46F37479"/>
    <w:rsid w:val="46F43423"/>
    <w:rsid w:val="46FC2FE8"/>
    <w:rsid w:val="47033281"/>
    <w:rsid w:val="47065799"/>
    <w:rsid w:val="47073BE8"/>
    <w:rsid w:val="470872CF"/>
    <w:rsid w:val="470D53CA"/>
    <w:rsid w:val="47112FF6"/>
    <w:rsid w:val="471354C1"/>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93DE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D62EB"/>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524EB"/>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83537"/>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D5D1D"/>
    <w:rsid w:val="4E1E7D0E"/>
    <w:rsid w:val="4E210A5C"/>
    <w:rsid w:val="4E2C6A36"/>
    <w:rsid w:val="4E332689"/>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A0599"/>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00144"/>
    <w:rsid w:val="52063C95"/>
    <w:rsid w:val="52073487"/>
    <w:rsid w:val="520A7B89"/>
    <w:rsid w:val="520E648E"/>
    <w:rsid w:val="520F50CF"/>
    <w:rsid w:val="521C5D43"/>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90A90"/>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16550"/>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7CF2"/>
    <w:rsid w:val="5546565D"/>
    <w:rsid w:val="554E0863"/>
    <w:rsid w:val="555737A6"/>
    <w:rsid w:val="55577AFF"/>
    <w:rsid w:val="55597711"/>
    <w:rsid w:val="55611FED"/>
    <w:rsid w:val="55640BD4"/>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B7BB5"/>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7361D"/>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1A5DA5"/>
    <w:rsid w:val="59251885"/>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82B12"/>
    <w:rsid w:val="5C8F19C2"/>
    <w:rsid w:val="5C9A6016"/>
    <w:rsid w:val="5CA57043"/>
    <w:rsid w:val="5CA66EFC"/>
    <w:rsid w:val="5CB157B0"/>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3727"/>
    <w:rsid w:val="5D915AFD"/>
    <w:rsid w:val="5D9404A9"/>
    <w:rsid w:val="5D9A23F4"/>
    <w:rsid w:val="5D9C1A05"/>
    <w:rsid w:val="5D9F6617"/>
    <w:rsid w:val="5D9F7C74"/>
    <w:rsid w:val="5DA45F90"/>
    <w:rsid w:val="5DAE2E8C"/>
    <w:rsid w:val="5DAE7F34"/>
    <w:rsid w:val="5DB42E5D"/>
    <w:rsid w:val="5DB65502"/>
    <w:rsid w:val="5DB906BB"/>
    <w:rsid w:val="5DC41A63"/>
    <w:rsid w:val="5DC7688B"/>
    <w:rsid w:val="5DD70750"/>
    <w:rsid w:val="5DD946FC"/>
    <w:rsid w:val="5DDA1FA8"/>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E313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7E7F1E"/>
    <w:rsid w:val="60830460"/>
    <w:rsid w:val="6085543E"/>
    <w:rsid w:val="608760CA"/>
    <w:rsid w:val="608B5C80"/>
    <w:rsid w:val="60907882"/>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3071"/>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6B7D"/>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7E4C0D"/>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AE686C"/>
    <w:rsid w:val="63B02C42"/>
    <w:rsid w:val="63BE6D07"/>
    <w:rsid w:val="63C1033A"/>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1E48A8"/>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9725F"/>
    <w:rsid w:val="645B5DC0"/>
    <w:rsid w:val="645D3A6B"/>
    <w:rsid w:val="64613F6F"/>
    <w:rsid w:val="646310B8"/>
    <w:rsid w:val="646A06E2"/>
    <w:rsid w:val="646C4EF1"/>
    <w:rsid w:val="646C4FB8"/>
    <w:rsid w:val="646D2F37"/>
    <w:rsid w:val="64706C6F"/>
    <w:rsid w:val="6471159B"/>
    <w:rsid w:val="64814078"/>
    <w:rsid w:val="6483791E"/>
    <w:rsid w:val="648B777B"/>
    <w:rsid w:val="648F1CFA"/>
    <w:rsid w:val="64937D17"/>
    <w:rsid w:val="6494650D"/>
    <w:rsid w:val="64984C13"/>
    <w:rsid w:val="649A6134"/>
    <w:rsid w:val="649D2569"/>
    <w:rsid w:val="64A157DA"/>
    <w:rsid w:val="64A32650"/>
    <w:rsid w:val="64A51362"/>
    <w:rsid w:val="64A55A03"/>
    <w:rsid w:val="64A62D1B"/>
    <w:rsid w:val="64A860F2"/>
    <w:rsid w:val="64AD4200"/>
    <w:rsid w:val="64AF09FF"/>
    <w:rsid w:val="64B14BC2"/>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B09EE"/>
    <w:rsid w:val="651C38DB"/>
    <w:rsid w:val="65201F4F"/>
    <w:rsid w:val="65204394"/>
    <w:rsid w:val="652133D2"/>
    <w:rsid w:val="6522790C"/>
    <w:rsid w:val="652A11D7"/>
    <w:rsid w:val="652C76EF"/>
    <w:rsid w:val="652D6A57"/>
    <w:rsid w:val="653B41A7"/>
    <w:rsid w:val="653E78B1"/>
    <w:rsid w:val="65403733"/>
    <w:rsid w:val="654066D8"/>
    <w:rsid w:val="654266AF"/>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4683A"/>
    <w:rsid w:val="66252267"/>
    <w:rsid w:val="662A64F9"/>
    <w:rsid w:val="662D2EA4"/>
    <w:rsid w:val="662F2BB7"/>
    <w:rsid w:val="6631571B"/>
    <w:rsid w:val="663D054E"/>
    <w:rsid w:val="66460692"/>
    <w:rsid w:val="664D3B44"/>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21BA7"/>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2DD9"/>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BA17EC"/>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341A2"/>
    <w:rsid w:val="685465AC"/>
    <w:rsid w:val="68650339"/>
    <w:rsid w:val="68651915"/>
    <w:rsid w:val="68670AE1"/>
    <w:rsid w:val="68733F18"/>
    <w:rsid w:val="687442EE"/>
    <w:rsid w:val="68756BE6"/>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D611E"/>
    <w:rsid w:val="68BF0078"/>
    <w:rsid w:val="68C04067"/>
    <w:rsid w:val="68C20D16"/>
    <w:rsid w:val="68CA4525"/>
    <w:rsid w:val="68D222EB"/>
    <w:rsid w:val="68D94717"/>
    <w:rsid w:val="68DD619B"/>
    <w:rsid w:val="68EC3A15"/>
    <w:rsid w:val="68ED69A7"/>
    <w:rsid w:val="68FD5593"/>
    <w:rsid w:val="69032565"/>
    <w:rsid w:val="690616DE"/>
    <w:rsid w:val="69073414"/>
    <w:rsid w:val="690C4501"/>
    <w:rsid w:val="690C60F7"/>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44705"/>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9118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661B1"/>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D3D5C"/>
    <w:rsid w:val="6D5E64E8"/>
    <w:rsid w:val="6D621A21"/>
    <w:rsid w:val="6D637EC6"/>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6740D"/>
    <w:rsid w:val="6DF92BCB"/>
    <w:rsid w:val="6DFB06CC"/>
    <w:rsid w:val="6DFD48F6"/>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F1069"/>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21ED"/>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AFA"/>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607C8"/>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1042"/>
    <w:rsid w:val="727334E4"/>
    <w:rsid w:val="72737951"/>
    <w:rsid w:val="72756082"/>
    <w:rsid w:val="72756E06"/>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586B"/>
    <w:rsid w:val="7320175D"/>
    <w:rsid w:val="73254DFB"/>
    <w:rsid w:val="7326097A"/>
    <w:rsid w:val="73267BB8"/>
    <w:rsid w:val="732A4A9B"/>
    <w:rsid w:val="733202B6"/>
    <w:rsid w:val="73323775"/>
    <w:rsid w:val="73343997"/>
    <w:rsid w:val="73370B0A"/>
    <w:rsid w:val="733A0C17"/>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22D0C"/>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06B2F"/>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C64D2"/>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E23FB"/>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D6759"/>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D61A02"/>
    <w:rsid w:val="77DA4519"/>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C460F"/>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53CF4"/>
    <w:rsid w:val="795A5499"/>
    <w:rsid w:val="79605435"/>
    <w:rsid w:val="796A2D8C"/>
    <w:rsid w:val="796E35F2"/>
    <w:rsid w:val="7970341A"/>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958E1"/>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E0FFA"/>
    <w:rsid w:val="7B18546A"/>
    <w:rsid w:val="7B1B467F"/>
    <w:rsid w:val="7B1E73DE"/>
    <w:rsid w:val="7B1F59AA"/>
    <w:rsid w:val="7B214978"/>
    <w:rsid w:val="7B391012"/>
    <w:rsid w:val="7B394905"/>
    <w:rsid w:val="7B3E674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8E30E3"/>
    <w:rsid w:val="7C982736"/>
    <w:rsid w:val="7C9A2FA3"/>
    <w:rsid w:val="7C9E5A24"/>
    <w:rsid w:val="7CA039F8"/>
    <w:rsid w:val="7CA3583F"/>
    <w:rsid w:val="7CA67728"/>
    <w:rsid w:val="7CA868E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946C0"/>
    <w:rsid w:val="7D1D7FE9"/>
    <w:rsid w:val="7D292A41"/>
    <w:rsid w:val="7D2A5CCB"/>
    <w:rsid w:val="7D300202"/>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EF7A7D"/>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2024-08-09T12:33:31Z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